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06288" w14:textId="012DB2BB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noProof/>
          <w:color w:val="FF0000"/>
          <w:lang w:val="en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679E" wp14:editId="0B0AB8DC">
                <wp:simplePos x="0" y="0"/>
                <wp:positionH relativeFrom="column">
                  <wp:posOffset>-287867</wp:posOffset>
                </wp:positionH>
                <wp:positionV relativeFrom="paragraph">
                  <wp:posOffset>-374227</wp:posOffset>
                </wp:positionV>
                <wp:extent cx="2642870" cy="1140460"/>
                <wp:effectExtent l="0" t="0" r="0" b="0"/>
                <wp:wrapNone/>
                <wp:docPr id="18454492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04133" w14:textId="77777777" w:rsidR="00265C6B" w:rsidRDefault="00265C6B" w:rsidP="00265C6B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n-GB"/>
                              </w:rPr>
                              <w:drawing>
                                <wp:inline distT="0" distB="0" distL="0" distR="0" wp14:anchorId="16A81BFC" wp14:editId="4A46475F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9214FF" w14:textId="77777777" w:rsidR="00265C6B" w:rsidRDefault="00265C6B" w:rsidP="00265C6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73C61CF" w14:textId="77777777" w:rsidR="00265C6B" w:rsidRDefault="00265C6B" w:rsidP="00265C6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28146F8" w14:textId="77777777" w:rsidR="00265C6B" w:rsidRDefault="00265C6B" w:rsidP="00265C6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48C9334" w14:textId="77777777" w:rsidR="00265C6B" w:rsidRDefault="00265C6B" w:rsidP="00265C6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167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65pt;margin-top:-29.4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" stroked="f" strokeweight="2.25pt">
                <v:stroke dashstyle="1 1" endcap="round"/>
                <v:path arrowok="t"/>
                <v:textbox inset="0,0,0,0">
                  <w:txbxContent>
                    <w:p w14:paraId="46C04133" w14:textId="77777777" w:rsidR="00265C6B" w:rsidRDefault="00265C6B" w:rsidP="00265C6B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n-GB"/>
                        </w:rPr>
                        <w:drawing>
                          <wp:inline distT="0" distB="0" distL="0" distR="0" wp14:anchorId="16A81BFC" wp14:editId="4A46475F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9214FF" w14:textId="77777777" w:rsidR="00265C6B" w:rsidRDefault="00265C6B" w:rsidP="00265C6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773C61CF" w14:textId="77777777" w:rsidR="00265C6B" w:rsidRDefault="00265C6B" w:rsidP="00265C6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628146F8" w14:textId="77777777" w:rsidR="00265C6B" w:rsidRDefault="00265C6B" w:rsidP="00265C6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48C9334" w14:textId="77777777" w:rsidR="00265C6B" w:rsidRDefault="00265C6B" w:rsidP="00265C6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39D9946" w14:textId="77777777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A4F001" w14:textId="77777777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696AF0" w14:textId="347D44C3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2C4156" w14:textId="77777777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49ECFAB" w14:textId="77777777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F90AD58" w14:textId="35557E60" w:rsidR="00265C6B" w:rsidRDefault="00265C6B" w:rsidP="00265C6B">
      <w:pPr>
        <w:shd w:val="clear" w:color="auto" w:fill="FFFFFF"/>
        <w:spacing w:line="293" w:lineRule="atLeast"/>
        <w:jc w:val="right"/>
      </w:pPr>
      <w:r>
        <w:t xml:space="preserve">Αθήνα, </w:t>
      </w:r>
      <w:r>
        <w:t>13 Αυγούστου</w:t>
      </w:r>
      <w:r>
        <w:t xml:space="preserve"> 202</w:t>
      </w:r>
      <w:r>
        <w:t>4</w:t>
      </w:r>
    </w:p>
    <w:p w14:paraId="12261301" w14:textId="77777777" w:rsidR="00265C6B" w:rsidRDefault="00265C6B" w:rsidP="00265C6B">
      <w:pPr>
        <w:shd w:val="clear" w:color="auto" w:fill="FFFFFF"/>
        <w:spacing w:line="293" w:lineRule="atLeast"/>
        <w:jc w:val="right"/>
      </w:pPr>
    </w:p>
    <w:p w14:paraId="4409F3BA" w14:textId="77777777" w:rsidR="00265C6B" w:rsidRDefault="00265C6B" w:rsidP="00265C6B">
      <w:pPr>
        <w:shd w:val="clear" w:color="auto" w:fill="FFFFFF"/>
        <w:spacing w:line="293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14:paraId="4B73699F" w14:textId="77777777" w:rsidR="00265C6B" w:rsidRPr="00265C6B" w:rsidRDefault="00265C6B" w:rsidP="00265C6B">
      <w:pPr>
        <w:shd w:val="clear" w:color="auto" w:fill="FFFFFF"/>
        <w:spacing w:line="293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14:paraId="50DAB8D2" w14:textId="3D01925E" w:rsidR="00265C6B" w:rsidRPr="00265C6B" w:rsidRDefault="00265C6B" w:rsidP="00265C6B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65C6B">
        <w:rPr>
          <w:rFonts w:ascii="Arial" w:hAnsi="Arial" w:cs="Arial"/>
          <w:b/>
          <w:bCs/>
          <w:color w:val="000000"/>
          <w:sz w:val="22"/>
          <w:szCs w:val="22"/>
        </w:rPr>
        <w:t>Δελτίο Τύπου</w:t>
      </w:r>
    </w:p>
    <w:p w14:paraId="4B37CDAE" w14:textId="77777777" w:rsid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38ABB7F" w14:textId="77777777" w:rsidR="00265C6B" w:rsidRPr="00265C6B" w:rsidRDefault="00265C6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A9C8FFF" w14:textId="6E2D5C66" w:rsidR="00240A2B" w:rsidRDefault="00240A2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Εφορεία Αρχαιοτήτων Ανατολικής Αττικής </w:t>
      </w:r>
      <w:r>
        <w:rPr>
          <w:rFonts w:ascii="Arial" w:hAnsi="Arial" w:cs="Arial"/>
          <w:color w:val="000000"/>
          <w:sz w:val="22"/>
          <w:szCs w:val="22"/>
        </w:rPr>
        <w:t xml:space="preserve">του Υπουργείου Πολιτισμού </w:t>
      </w:r>
      <w:r w:rsidR="00265C6B">
        <w:rPr>
          <w:rFonts w:ascii="Arial" w:hAnsi="Arial" w:cs="Arial"/>
          <w:color w:val="000000"/>
          <w:sz w:val="22"/>
          <w:szCs w:val="22"/>
        </w:rPr>
        <w:t xml:space="preserve">ανακοινώνει </w:t>
      </w:r>
      <w:r w:rsidR="00265C6B" w:rsidRPr="00240A2B">
        <w:rPr>
          <w:rFonts w:ascii="Arial" w:hAnsi="Arial" w:cs="Arial"/>
          <w:color w:val="000000"/>
          <w:sz w:val="22"/>
          <w:szCs w:val="22"/>
        </w:rPr>
        <w:t>ότι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40A2B">
        <w:rPr>
          <w:rFonts w:ascii="Arial" w:hAnsi="Arial" w:cs="Arial"/>
          <w:color w:val="000000"/>
          <w:sz w:val="22"/>
          <w:szCs w:val="22"/>
        </w:rPr>
        <w:t>η πυρκαγιά της 11 Αυγούστου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40A2B">
        <w:rPr>
          <w:rFonts w:ascii="Arial" w:hAnsi="Arial" w:cs="Arial"/>
          <w:color w:val="000000"/>
          <w:sz w:val="22"/>
          <w:szCs w:val="22"/>
        </w:rPr>
        <w:t>στην Αττική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δεν προκάλεσε βλάβες στο Αρχαιολογικό Μουσείο </w:t>
      </w:r>
      <w:proofErr w:type="spellStart"/>
      <w:r w:rsidRPr="00240A2B">
        <w:rPr>
          <w:rFonts w:ascii="Arial" w:hAnsi="Arial" w:cs="Arial"/>
          <w:color w:val="000000"/>
          <w:sz w:val="22"/>
          <w:szCs w:val="22"/>
        </w:rPr>
        <w:t>Μαραθώνος</w:t>
      </w:r>
      <w:proofErr w:type="spellEnd"/>
      <w:r w:rsidRPr="00240A2B">
        <w:rPr>
          <w:rFonts w:ascii="Arial" w:hAnsi="Arial" w:cs="Arial"/>
          <w:color w:val="000000"/>
          <w:sz w:val="22"/>
          <w:szCs w:val="22"/>
        </w:rPr>
        <w:t xml:space="preserve"> και στους αρχαιολογικούς χώρους του Δήμου </w:t>
      </w:r>
      <w:proofErr w:type="spellStart"/>
      <w:r w:rsidRPr="00240A2B">
        <w:rPr>
          <w:rFonts w:ascii="Arial" w:hAnsi="Arial" w:cs="Arial"/>
          <w:color w:val="000000"/>
          <w:sz w:val="22"/>
          <w:szCs w:val="22"/>
        </w:rPr>
        <w:t>Μαραθώνος</w:t>
      </w:r>
      <w:proofErr w:type="spellEnd"/>
      <w:r w:rsidRPr="00240A2B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240A2B">
        <w:rPr>
          <w:rFonts w:ascii="Arial" w:hAnsi="Arial" w:cs="Arial"/>
          <w:color w:val="000000"/>
          <w:sz w:val="22"/>
          <w:szCs w:val="22"/>
        </w:rPr>
        <w:t>Ραμνούς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Τύμβος Αθηναίων, ιερό Αιγυπτίων θεών στην </w:t>
      </w:r>
      <w:proofErr w:type="spellStart"/>
      <w:r w:rsidRPr="00240A2B">
        <w:rPr>
          <w:rFonts w:ascii="Arial" w:hAnsi="Arial" w:cs="Arial"/>
          <w:color w:val="000000"/>
          <w:sz w:val="22"/>
          <w:szCs w:val="22"/>
        </w:rPr>
        <w:t>Μπρεξίζα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Νέας Μάκρης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FF1F54" w14:textId="628B403B" w:rsidR="00240A2B" w:rsidRPr="00240A2B" w:rsidRDefault="00240A2B" w:rsidP="00240A2B">
      <w:pPr>
        <w:shd w:val="clear" w:color="auto" w:fill="FFFFFF"/>
        <w:spacing w:line="293" w:lineRule="atLeast"/>
        <w:jc w:val="both"/>
        <w:rPr>
          <w:rFonts w:ascii="Arial" w:hAnsi="Arial" w:cs="Arial"/>
          <w:color w:val="222222"/>
        </w:rPr>
      </w:pPr>
      <w:r w:rsidRPr="00240A2B">
        <w:rPr>
          <w:rFonts w:ascii="Arial" w:hAnsi="Arial" w:cs="Arial"/>
          <w:color w:val="000000"/>
          <w:sz w:val="22"/>
          <w:szCs w:val="22"/>
        </w:rPr>
        <w:t>Επισημαίνεται ότι οι προαναφερόμενοι χώροι βρίσκονται σε απόσταση από τα σημεία όπου εξελίχθηκε η πυρκαγιά.</w:t>
      </w:r>
      <w:r w:rsidRPr="00240A2B">
        <w:rPr>
          <w:rFonts w:ascii="Arial" w:hAnsi="Arial" w:cs="Arial"/>
          <w:color w:val="222222"/>
        </w:rPr>
        <w:t xml:space="preserve"> </w:t>
      </w:r>
      <w:r w:rsidRPr="00240A2B">
        <w:rPr>
          <w:rFonts w:ascii="Arial" w:hAnsi="Arial" w:cs="Arial"/>
          <w:color w:val="000000"/>
          <w:sz w:val="22"/>
          <w:szCs w:val="22"/>
        </w:rPr>
        <w:t>Στον αρχαιολογικό χώρο του Διονύσου (</w:t>
      </w:r>
      <w:proofErr w:type="spellStart"/>
      <w:r w:rsidRPr="00240A2B">
        <w:rPr>
          <w:rFonts w:ascii="Arial" w:hAnsi="Arial" w:cs="Arial"/>
          <w:color w:val="000000"/>
          <w:sz w:val="22"/>
          <w:szCs w:val="22"/>
        </w:rPr>
        <w:t>Ικάριον</w:t>
      </w:r>
      <w:proofErr w:type="spellEnd"/>
      <w:r w:rsidRPr="00240A2B">
        <w:rPr>
          <w:rFonts w:ascii="Arial" w:hAnsi="Arial" w:cs="Arial"/>
          <w:color w:val="000000"/>
          <w:sz w:val="22"/>
          <w:szCs w:val="22"/>
        </w:rPr>
        <w:t xml:space="preserve">) δεν υπάρχει προς το παρόν δυνατότητα πρόσβασης, ώστε να γίνει αυτοψία. </w:t>
      </w:r>
      <w:r>
        <w:rPr>
          <w:rFonts w:ascii="Arial" w:hAnsi="Arial" w:cs="Arial"/>
          <w:color w:val="000000"/>
          <w:sz w:val="22"/>
          <w:szCs w:val="22"/>
        </w:rPr>
        <w:t xml:space="preserve">Ωστόσο </w:t>
      </w:r>
      <w:r w:rsidR="00265C6B" w:rsidRPr="00240A2B">
        <w:rPr>
          <w:rFonts w:ascii="Arial" w:hAnsi="Arial" w:cs="Arial"/>
          <w:color w:val="000000"/>
          <w:sz w:val="22"/>
          <w:szCs w:val="22"/>
        </w:rPr>
        <w:t>σημειώνεται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ότι οι χώροι ήταν εξαντλητικά καθαρισμένοι και αποψιλωμένοι.</w:t>
      </w:r>
    </w:p>
    <w:p w14:paraId="526197B5" w14:textId="1865C160" w:rsidR="00240A2B" w:rsidRPr="00240A2B" w:rsidRDefault="00240A2B" w:rsidP="00240A2B">
      <w:pPr>
        <w:shd w:val="clear" w:color="auto" w:fill="FFFFFF"/>
        <w:spacing w:after="120" w:line="293" w:lineRule="atLeast"/>
        <w:jc w:val="both"/>
        <w:rPr>
          <w:rFonts w:ascii="Arial" w:hAnsi="Arial" w:cs="Arial"/>
          <w:color w:val="222222"/>
        </w:rPr>
      </w:pPr>
      <w:r w:rsidRPr="00240A2B">
        <w:rPr>
          <w:rFonts w:ascii="Arial" w:hAnsi="Arial" w:cs="Arial"/>
          <w:color w:val="000000"/>
          <w:sz w:val="22"/>
          <w:szCs w:val="22"/>
        </w:rPr>
        <w:t>Για προληπτικούς λόγους και κυρίως λόγω της επιβαρυμένης ατμόσφαιρας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από πυκνό καπνό που καλύπτει όλο το παραλιακό μέτωπο της Ανατολικής Αττικής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οι αρχαιολογικοί χώροι και το μουσείο Μαραθώνα θα παραμείνουν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προς το παρόν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40A2B">
        <w:rPr>
          <w:rFonts w:ascii="Arial" w:hAnsi="Arial" w:cs="Arial"/>
          <w:color w:val="000000"/>
          <w:sz w:val="22"/>
          <w:szCs w:val="22"/>
        </w:rPr>
        <w:t xml:space="preserve"> κλειστά. Το κοινό έχει ενημερωθεί μέσω της ιστοσελίδας της </w:t>
      </w:r>
      <w:proofErr w:type="spellStart"/>
      <w:r w:rsidRPr="00240A2B">
        <w:rPr>
          <w:rFonts w:ascii="Arial" w:hAnsi="Arial" w:cs="Arial"/>
          <w:color w:val="000000"/>
          <w:sz w:val="22"/>
          <w:szCs w:val="22"/>
        </w:rPr>
        <w:t>ΕφΑΑνΑτ</w:t>
      </w:r>
      <w:proofErr w:type="spellEnd"/>
      <w:r w:rsidRPr="00240A2B">
        <w:rPr>
          <w:rFonts w:ascii="Arial" w:hAnsi="Arial" w:cs="Arial"/>
          <w:color w:val="000000"/>
          <w:sz w:val="22"/>
          <w:szCs w:val="22"/>
        </w:rPr>
        <w:t>.</w:t>
      </w:r>
    </w:p>
    <w:p w14:paraId="0505CB75" w14:textId="47F64B28" w:rsidR="00240A2B" w:rsidRPr="00240A2B" w:rsidRDefault="00265C6B" w:rsidP="00240A2B">
      <w:pPr>
        <w:shd w:val="clear" w:color="auto" w:fill="FFFFFF"/>
        <w:spacing w:after="120" w:line="293" w:lineRule="atLeast"/>
        <w:jc w:val="both"/>
        <w:rPr>
          <w:rFonts w:ascii="Arial" w:hAnsi="Arial" w:cs="Arial"/>
          <w:color w:val="222222"/>
        </w:rPr>
      </w:pPr>
      <w:r w:rsidRPr="00240A2B">
        <w:rPr>
          <w:rFonts w:ascii="Arial" w:hAnsi="Arial" w:cs="Arial"/>
          <w:color w:val="000000"/>
          <w:sz w:val="22"/>
          <w:szCs w:val="22"/>
        </w:rPr>
        <w:t>Όσον</w:t>
      </w:r>
      <w:r w:rsidR="00240A2B" w:rsidRPr="00240A2B">
        <w:rPr>
          <w:rFonts w:ascii="Arial" w:hAnsi="Arial" w:cs="Arial"/>
          <w:color w:val="000000"/>
          <w:sz w:val="22"/>
          <w:szCs w:val="22"/>
        </w:rPr>
        <w:t xml:space="preserve"> αφορά στα διάσπαρτα μεμονωμένα ορατά ή και ιστάμενα μνημεία αρμοδιότητας της Εφορείας Αρχαιοτήτων Ανατολικής Αττικής, εντός των ορίων των Δήμων </w:t>
      </w:r>
      <w:proofErr w:type="spellStart"/>
      <w:r w:rsidR="00240A2B" w:rsidRPr="00240A2B">
        <w:rPr>
          <w:rFonts w:ascii="Arial" w:hAnsi="Arial" w:cs="Arial"/>
          <w:color w:val="000000"/>
          <w:sz w:val="22"/>
          <w:szCs w:val="22"/>
        </w:rPr>
        <w:t>Μαραθώνος</w:t>
      </w:r>
      <w:proofErr w:type="spellEnd"/>
      <w:r w:rsidR="00240A2B" w:rsidRPr="00240A2B">
        <w:rPr>
          <w:rFonts w:ascii="Arial" w:hAnsi="Arial" w:cs="Arial"/>
          <w:color w:val="000000"/>
          <w:sz w:val="22"/>
          <w:szCs w:val="22"/>
        </w:rPr>
        <w:t>, Διονύσου και Πεντέλης, θα ακολουθήσει διενέργεια αυτοψιών, μόλις οι συνθήκες το επιτρέψουν.</w:t>
      </w:r>
    </w:p>
    <w:p w14:paraId="4A5AECAB" w14:textId="77777777" w:rsidR="00240A2B" w:rsidRDefault="00240A2B" w:rsidP="00240A2B"/>
    <w:p w14:paraId="3DB61B63" w14:textId="77777777" w:rsidR="00CD5D54" w:rsidRPr="00240A2B" w:rsidRDefault="00CD5D54">
      <w:pPr>
        <w:rPr>
          <w:rFonts w:ascii="Palatino Linotype" w:hAnsi="Palatino Linotype"/>
        </w:rPr>
      </w:pPr>
    </w:p>
    <w:sectPr w:rsidR="00CD5D54" w:rsidRPr="00240A2B" w:rsidSect="00240A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2B"/>
    <w:rsid w:val="00240A2B"/>
    <w:rsid w:val="00265C6B"/>
    <w:rsid w:val="00B013DF"/>
    <w:rsid w:val="00BE3518"/>
    <w:rsid w:val="00C16057"/>
    <w:rsid w:val="00CD5D54"/>
    <w:rsid w:val="00DF2941"/>
    <w:rsid w:val="00E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37E49"/>
  <w15:chartTrackingRefBased/>
  <w15:docId w15:val="{FCA2A237-F65C-7F4E-9894-756177EF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2B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A2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A2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A2B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00A3E4A-12EA-4151-A41A-2E7C265F167F}"/>
</file>

<file path=customXml/itemProps2.xml><?xml version="1.0" encoding="utf-8"?>
<ds:datastoreItem xmlns:ds="http://schemas.openxmlformats.org/officeDocument/2006/customXml" ds:itemID="{A27901DC-92E6-43CA-AA56-FA372CBD5F16}"/>
</file>

<file path=customXml/itemProps3.xml><?xml version="1.0" encoding="utf-8"?>
<ds:datastoreItem xmlns:ds="http://schemas.openxmlformats.org/officeDocument/2006/customXml" ds:itemID="{A1F068C0-EFD8-4A73-B7ED-289676B7C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Δελτίο Τύπου</dc:title>
  <dc:subject/>
  <dc:creator>Anna Panagiotarea</dc:creator>
  <cp:keywords/>
  <dc:description/>
  <cp:lastModifiedBy>natassa paschali</cp:lastModifiedBy>
  <cp:revision>2</cp:revision>
  <dcterms:created xsi:type="dcterms:W3CDTF">2024-08-13T10:09:00Z</dcterms:created>
  <dcterms:modified xsi:type="dcterms:W3CDTF">2024-08-13T10:09:00Z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